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BC" w:rsidRPr="001177DA" w:rsidRDefault="001177DA">
      <w:pPr>
        <w:rPr>
          <w:b/>
          <w:sz w:val="28"/>
          <w:szCs w:val="28"/>
        </w:rPr>
      </w:pPr>
      <w:bookmarkStart w:id="0" w:name="_GoBack"/>
      <w:bookmarkEnd w:id="0"/>
      <w:r w:rsidRPr="001177DA">
        <w:rPr>
          <w:b/>
          <w:sz w:val="28"/>
          <w:szCs w:val="28"/>
        </w:rPr>
        <w:t>Visie van de school</w:t>
      </w:r>
    </w:p>
    <w:p w:rsidR="001177DA" w:rsidRDefault="001177DA">
      <w:pPr>
        <w:rPr>
          <w:b/>
          <w:sz w:val="24"/>
          <w:szCs w:val="24"/>
        </w:rPr>
      </w:pPr>
      <w:r>
        <w:rPr>
          <w:b/>
          <w:sz w:val="24"/>
          <w:szCs w:val="24"/>
        </w:rPr>
        <w:t>Voorstelling</w:t>
      </w:r>
    </w:p>
    <w:p w:rsidR="001177DA" w:rsidRDefault="001177DA" w:rsidP="001177DA">
      <w:pPr>
        <w:jc w:val="both"/>
        <w:rPr>
          <w:sz w:val="24"/>
          <w:szCs w:val="24"/>
        </w:rPr>
      </w:pPr>
      <w:r>
        <w:rPr>
          <w:sz w:val="24"/>
          <w:szCs w:val="24"/>
        </w:rPr>
        <w:t>In 2008 zijn we gestart met onze eerste GOK-cyclus (focus: preventie en remediëring van ontwikkelings- en leerachterstanden + leerling- en ouderparticipatie), in 2011 met de tweede cyclus (focus: doorstroming en oriëntering + socio-emotionele ontwikkeling).</w:t>
      </w:r>
    </w:p>
    <w:p w:rsidR="001177DA" w:rsidRDefault="001177DA" w:rsidP="001177DA">
      <w:pPr>
        <w:jc w:val="both"/>
        <w:rPr>
          <w:sz w:val="24"/>
          <w:szCs w:val="24"/>
        </w:rPr>
      </w:pPr>
      <w:r>
        <w:rPr>
          <w:sz w:val="24"/>
          <w:szCs w:val="24"/>
        </w:rPr>
        <w:t>Heel wat acties zitten ondertussen in onze schoolwerking verankerd en zorgen er op die manier voor dat meer kinderen krijgen waar ze recht op hebben: kansen om te leren en zich te ontwikkelen.</w:t>
      </w:r>
    </w:p>
    <w:p w:rsidR="004B60FC" w:rsidRDefault="004B60FC" w:rsidP="001177DA">
      <w:pPr>
        <w:jc w:val="both"/>
        <w:rPr>
          <w:sz w:val="24"/>
          <w:szCs w:val="24"/>
        </w:rPr>
      </w:pPr>
      <w:r>
        <w:rPr>
          <w:sz w:val="24"/>
          <w:szCs w:val="24"/>
        </w:rPr>
        <w:t>De school heeft voor de nieuw cyclus 7 GOK-uren</w:t>
      </w:r>
      <w:r w:rsidR="001177DA">
        <w:rPr>
          <w:sz w:val="24"/>
          <w:szCs w:val="24"/>
        </w:rPr>
        <w:t>.</w:t>
      </w:r>
    </w:p>
    <w:p w:rsidR="001177DA" w:rsidRDefault="001177DA" w:rsidP="001177DA">
      <w:pPr>
        <w:jc w:val="both"/>
        <w:rPr>
          <w:sz w:val="24"/>
          <w:szCs w:val="24"/>
        </w:rPr>
      </w:pPr>
      <w:r>
        <w:rPr>
          <w:sz w:val="24"/>
          <w:szCs w:val="24"/>
        </w:rPr>
        <w:t>De focus ligt opnieuw op preventie en remediëring van ontwikkelings- en leerachterstanden en op socio-emotionele ontwikkeling.  Met behulp van de BSA  evalueren we onze werking en ‘finetunen’ we waar nodig.</w:t>
      </w:r>
    </w:p>
    <w:p w:rsidR="001177DA" w:rsidRDefault="001177DA" w:rsidP="001177DA">
      <w:pPr>
        <w:jc w:val="both"/>
        <w:rPr>
          <w:sz w:val="24"/>
          <w:szCs w:val="24"/>
        </w:rPr>
      </w:pPr>
    </w:p>
    <w:p w:rsidR="001177DA" w:rsidRDefault="001177DA" w:rsidP="001177DA">
      <w:pPr>
        <w:jc w:val="both"/>
        <w:rPr>
          <w:b/>
          <w:sz w:val="24"/>
          <w:szCs w:val="24"/>
        </w:rPr>
      </w:pPr>
      <w:r>
        <w:rPr>
          <w:b/>
          <w:sz w:val="24"/>
          <w:szCs w:val="24"/>
        </w:rPr>
        <w:t>Visie</w:t>
      </w:r>
    </w:p>
    <w:p w:rsidR="001177DA" w:rsidRDefault="001177DA" w:rsidP="001177DA">
      <w:pPr>
        <w:jc w:val="both"/>
        <w:rPr>
          <w:sz w:val="24"/>
          <w:szCs w:val="24"/>
        </w:rPr>
      </w:pPr>
      <w:r>
        <w:rPr>
          <w:sz w:val="24"/>
          <w:szCs w:val="24"/>
        </w:rPr>
        <w:t>GOK betekent Gelijke Onderwijskansen.  Het doel: alle kinderen dezelfde optimale mogelijkheden bieden om te leren en te ontwikkelen en uitsluiting, sociale scheiding en discriminatie tegengaan.</w:t>
      </w:r>
    </w:p>
    <w:p w:rsidR="001177DA" w:rsidRDefault="001177DA" w:rsidP="004B60FC">
      <w:pPr>
        <w:spacing w:line="240" w:lineRule="auto"/>
        <w:jc w:val="both"/>
        <w:rPr>
          <w:sz w:val="24"/>
          <w:szCs w:val="24"/>
        </w:rPr>
      </w:pPr>
      <w:r>
        <w:rPr>
          <w:sz w:val="24"/>
          <w:szCs w:val="24"/>
        </w:rPr>
        <w:t>Als school proberen we ervoor te zorgen dat elk kind – hoe verschillend ook – zich kan ontplooien en ontwikkele</w:t>
      </w:r>
      <w:r w:rsidR="004B60FC">
        <w:rPr>
          <w:sz w:val="24"/>
          <w:szCs w:val="24"/>
        </w:rPr>
        <w:t>n tot een authentieke jongere.  Van preventieve basiszorg voor elke leerling (= fase 0) tot uitbreiding van zorg (= fase 2) en indien nodig tot overstap naar school op maat (= fase 3) voor enkelen (cfr. Zorgvisie).</w:t>
      </w:r>
    </w:p>
    <w:p w:rsidR="001177DA" w:rsidRDefault="001177DA" w:rsidP="001177DA">
      <w:pPr>
        <w:spacing w:line="240" w:lineRule="auto"/>
        <w:jc w:val="both"/>
        <w:rPr>
          <w:sz w:val="24"/>
          <w:szCs w:val="24"/>
        </w:rPr>
      </w:pPr>
      <w:r>
        <w:rPr>
          <w:sz w:val="24"/>
          <w:szCs w:val="24"/>
        </w:rPr>
        <w:t>Zo willen we ervoor zorgen dat elke leerling gemotiveerd is om bij te leren (=zijn/haar leerwinst zo veel mogelijk te vergroten) en om als mens te groeien.</w:t>
      </w:r>
    </w:p>
    <w:p w:rsidR="004B60FC" w:rsidRDefault="000806E8" w:rsidP="001177DA">
      <w:pPr>
        <w:jc w:val="both"/>
        <w:rPr>
          <w:sz w:val="24"/>
          <w:szCs w:val="24"/>
        </w:rPr>
      </w:pPr>
      <w:r>
        <w:rPr>
          <w:sz w:val="24"/>
          <w:szCs w:val="24"/>
        </w:rPr>
        <w:t xml:space="preserve">De GOK-uren zorgen ervoor dat we extra </w:t>
      </w:r>
      <w:r w:rsidR="004B60FC">
        <w:rPr>
          <w:sz w:val="24"/>
          <w:szCs w:val="24"/>
        </w:rPr>
        <w:t>ondersteuning kunnen geven</w:t>
      </w:r>
      <w:r>
        <w:rPr>
          <w:sz w:val="24"/>
          <w:szCs w:val="24"/>
        </w:rPr>
        <w:t xml:space="preserve"> </w:t>
      </w:r>
      <w:r w:rsidR="004B60FC">
        <w:rPr>
          <w:sz w:val="24"/>
          <w:szCs w:val="24"/>
        </w:rPr>
        <w:t>aan</w:t>
      </w:r>
      <w:r>
        <w:rPr>
          <w:sz w:val="24"/>
          <w:szCs w:val="24"/>
        </w:rPr>
        <w:t xml:space="preserve"> de</w:t>
      </w:r>
      <w:r w:rsidR="004B60FC">
        <w:rPr>
          <w:sz w:val="24"/>
          <w:szCs w:val="24"/>
        </w:rPr>
        <w:t xml:space="preserve"> leerlingen met een GOK-profiel:</w:t>
      </w:r>
    </w:p>
    <w:p w:rsidR="004B60FC" w:rsidRDefault="004B60FC" w:rsidP="004B60FC">
      <w:pPr>
        <w:pStyle w:val="Lijstalinea"/>
        <w:numPr>
          <w:ilvl w:val="0"/>
          <w:numId w:val="1"/>
        </w:numPr>
        <w:jc w:val="both"/>
        <w:rPr>
          <w:sz w:val="24"/>
          <w:szCs w:val="24"/>
        </w:rPr>
      </w:pPr>
      <w:r>
        <w:rPr>
          <w:sz w:val="24"/>
          <w:szCs w:val="24"/>
        </w:rPr>
        <w:t>Leerlingen waarvan de ouders behoren tot de trekkende bevolking.</w:t>
      </w:r>
    </w:p>
    <w:p w:rsidR="004B60FC" w:rsidRDefault="004B60FC" w:rsidP="004B60FC">
      <w:pPr>
        <w:pStyle w:val="Lijstalinea"/>
        <w:numPr>
          <w:ilvl w:val="0"/>
          <w:numId w:val="1"/>
        </w:numPr>
        <w:jc w:val="both"/>
        <w:rPr>
          <w:sz w:val="24"/>
          <w:szCs w:val="24"/>
        </w:rPr>
      </w:pPr>
      <w:r>
        <w:rPr>
          <w:sz w:val="24"/>
          <w:szCs w:val="24"/>
        </w:rPr>
        <w:t>Leerlingen waarvan de moeder niet in het bezit is van een diploma secundair onderwijs (of een daarmee gelijkwaardig studiebewijs).</w:t>
      </w:r>
    </w:p>
    <w:p w:rsidR="004B60FC" w:rsidRDefault="004B60FC" w:rsidP="004B60FC">
      <w:pPr>
        <w:pStyle w:val="Lijstalinea"/>
        <w:numPr>
          <w:ilvl w:val="0"/>
          <w:numId w:val="1"/>
        </w:numPr>
        <w:jc w:val="both"/>
        <w:rPr>
          <w:sz w:val="24"/>
          <w:szCs w:val="24"/>
        </w:rPr>
      </w:pPr>
      <w:r>
        <w:rPr>
          <w:sz w:val="24"/>
          <w:szCs w:val="24"/>
        </w:rPr>
        <w:t>Leerlingen die tijdelijk of permanent buiten het eigen gezinsverband leven.</w:t>
      </w:r>
    </w:p>
    <w:p w:rsidR="004B60FC" w:rsidRDefault="004B60FC" w:rsidP="004B60FC">
      <w:pPr>
        <w:pStyle w:val="Lijstalinea"/>
        <w:numPr>
          <w:ilvl w:val="0"/>
          <w:numId w:val="1"/>
        </w:numPr>
        <w:jc w:val="both"/>
        <w:rPr>
          <w:sz w:val="24"/>
          <w:szCs w:val="24"/>
        </w:rPr>
      </w:pPr>
      <w:r>
        <w:rPr>
          <w:sz w:val="24"/>
          <w:szCs w:val="24"/>
        </w:rPr>
        <w:t>Leerlingen die ondersteund worden met één of meerdere schooltoelagen van de Vlaamse gemeenschap.</w:t>
      </w:r>
    </w:p>
    <w:p w:rsidR="004B60FC" w:rsidRPr="004B60FC" w:rsidRDefault="004B60FC" w:rsidP="004B60FC">
      <w:pPr>
        <w:pStyle w:val="Lijstalinea"/>
        <w:numPr>
          <w:ilvl w:val="0"/>
          <w:numId w:val="1"/>
        </w:numPr>
        <w:jc w:val="both"/>
        <w:rPr>
          <w:sz w:val="24"/>
          <w:szCs w:val="24"/>
        </w:rPr>
      </w:pPr>
      <w:r>
        <w:rPr>
          <w:sz w:val="24"/>
          <w:szCs w:val="24"/>
        </w:rPr>
        <w:t>Leerlingen van wie de thuistaal niet Nederlands is.</w:t>
      </w:r>
    </w:p>
    <w:p w:rsidR="000806E8" w:rsidRDefault="000806E8" w:rsidP="001177DA">
      <w:pPr>
        <w:jc w:val="both"/>
        <w:rPr>
          <w:sz w:val="24"/>
          <w:szCs w:val="24"/>
        </w:rPr>
      </w:pPr>
      <w:r>
        <w:rPr>
          <w:sz w:val="24"/>
          <w:szCs w:val="24"/>
        </w:rPr>
        <w:t>Dat we hen</w:t>
      </w:r>
      <w:r w:rsidR="004B60FC">
        <w:rPr>
          <w:sz w:val="24"/>
          <w:szCs w:val="24"/>
        </w:rPr>
        <w:t xml:space="preserve"> – bij wijze van spreken – </w:t>
      </w:r>
      <w:r>
        <w:rPr>
          <w:sz w:val="24"/>
          <w:szCs w:val="24"/>
        </w:rPr>
        <w:t xml:space="preserve">een symbolische bril kunnen geven, waardoor ze de mogelijkheid krijgen om net zo goed te kunnen zien als de andere leerlingen.  </w:t>
      </w:r>
    </w:p>
    <w:p w:rsidR="001177DA" w:rsidRDefault="000806E8" w:rsidP="001177DA">
      <w:pPr>
        <w:jc w:val="both"/>
        <w:rPr>
          <w:sz w:val="24"/>
          <w:szCs w:val="24"/>
        </w:rPr>
      </w:pPr>
      <w:r>
        <w:rPr>
          <w:sz w:val="24"/>
          <w:szCs w:val="24"/>
        </w:rPr>
        <w:lastRenderedPageBreak/>
        <w:t>We hebben ons actieplan dan ook opgesteld met die leerlingen in gedachten, maar wel zo dat alle leerlingen er baat bij hebben.</w:t>
      </w:r>
    </w:p>
    <w:p w:rsidR="000806E8" w:rsidRPr="00D44B07" w:rsidRDefault="000806E8" w:rsidP="000806E8">
      <w:pPr>
        <w:spacing w:line="240" w:lineRule="auto"/>
        <w:jc w:val="both"/>
        <w:rPr>
          <w:sz w:val="24"/>
          <w:szCs w:val="24"/>
        </w:rPr>
      </w:pPr>
      <w:r>
        <w:rPr>
          <w:sz w:val="24"/>
          <w:szCs w:val="24"/>
        </w:rPr>
        <w:t>Tot slot: We beseffen dat de samenwerking tussen de school, de leerlingen en de ouders heel belangrijk is.  Leerlingenraad en oudercomité zijn dan ook volwaardige partners in onze levenslange zoektocht naar een nog betere school, een ‘open’ school, een school ‘zonder drempel’.  Een school waar ook de ouders zich een stukje thuis voelen en waarvan ze weten dat hun kind er zich ook thuis voelt.</w:t>
      </w:r>
    </w:p>
    <w:p w:rsidR="000806E8" w:rsidRPr="001177DA" w:rsidRDefault="000806E8" w:rsidP="001177DA">
      <w:pPr>
        <w:jc w:val="both"/>
        <w:rPr>
          <w:sz w:val="24"/>
          <w:szCs w:val="24"/>
        </w:rPr>
      </w:pPr>
    </w:p>
    <w:sectPr w:rsidR="000806E8" w:rsidRPr="001177DA" w:rsidSect="007C0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42A"/>
    <w:multiLevelType w:val="hybridMultilevel"/>
    <w:tmpl w:val="172898EA"/>
    <w:lvl w:ilvl="0" w:tplc="08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DA"/>
    <w:rsid w:val="000806E8"/>
    <w:rsid w:val="001177DA"/>
    <w:rsid w:val="004B60FC"/>
    <w:rsid w:val="00797BF9"/>
    <w:rsid w:val="007C0EBC"/>
    <w:rsid w:val="00EA50E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0E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B60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0E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B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2233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dc:creator>
  <cp:keywords/>
  <dc:description/>
  <cp:lastModifiedBy>Johan Maertens</cp:lastModifiedBy>
  <cp:revision>2</cp:revision>
  <dcterms:created xsi:type="dcterms:W3CDTF">2015-05-14T08:02:00Z</dcterms:created>
  <dcterms:modified xsi:type="dcterms:W3CDTF">2015-05-14T08:02:00Z</dcterms:modified>
</cp:coreProperties>
</file>